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宋体" w:eastAsia="方正小标宋_GBK" w:cs="宋体"/>
          <w:sz w:val="44"/>
          <w:szCs w:val="44"/>
          <w:lang w:val="en"/>
        </w:rPr>
      </w:pPr>
      <w:r>
        <w:rPr>
          <w:rFonts w:hint="eastAsia" w:ascii="方正小标宋_GBK" w:hAnsi="宋体" w:eastAsia="方正小标宋_GBK" w:cs="宋体"/>
          <w:sz w:val="44"/>
          <w:szCs w:val="44"/>
          <w:lang w:val="en"/>
        </w:rPr>
        <w:t>李沧区人民政府办公室</w:t>
      </w:r>
    </w:p>
    <w:p>
      <w:pPr>
        <w:spacing w:line="560" w:lineRule="exact"/>
        <w:jc w:val="center"/>
        <w:rPr>
          <w:rFonts w:ascii="方正小标宋_GBK" w:eastAsia="方正小标宋_GBK"/>
          <w:sz w:val="44"/>
          <w:szCs w:val="44"/>
        </w:rPr>
      </w:pPr>
      <w:r>
        <w:rPr>
          <w:rFonts w:hint="eastAsia" w:ascii="方正小标宋_GBK" w:hAnsi="宋体" w:eastAsia="方正小标宋_GBK" w:cs="宋体"/>
          <w:sz w:val="44"/>
          <w:szCs w:val="44"/>
          <w:lang w:val="en"/>
        </w:rPr>
        <w:t>关于</w:t>
      </w:r>
      <w:r>
        <w:rPr>
          <w:rFonts w:hint="eastAsia" w:ascii="方正小标宋_GBK" w:eastAsia="方正小标宋_GBK"/>
          <w:sz w:val="44"/>
          <w:szCs w:val="44"/>
        </w:rPr>
        <w:t>印发《李沧区加快清洁能源供热发展</w:t>
      </w:r>
    </w:p>
    <w:p>
      <w:pPr>
        <w:spacing w:line="560" w:lineRule="exact"/>
        <w:jc w:val="center"/>
        <w:rPr>
          <w:rFonts w:hint="eastAsia" w:ascii="方正小标宋_GBK" w:hAnsi="宋体" w:eastAsia="方正小标宋_GBK" w:cs="宋体"/>
          <w:sz w:val="44"/>
          <w:szCs w:val="44"/>
        </w:rPr>
      </w:pPr>
      <w:r>
        <w:rPr>
          <w:rFonts w:hint="eastAsia" w:ascii="方正小标宋_GBK" w:eastAsia="方正小标宋_GBK"/>
          <w:sz w:val="44"/>
          <w:szCs w:val="44"/>
        </w:rPr>
        <w:t>若干政策措施》</w:t>
      </w:r>
      <w:r>
        <w:rPr>
          <w:rFonts w:hint="eastAsia" w:ascii="方正小标宋_GBK" w:hAnsi="宋体" w:eastAsia="方正小标宋_GBK" w:cs="宋体"/>
          <w:sz w:val="44"/>
          <w:szCs w:val="44"/>
        </w:rPr>
        <w:t>的通知</w:t>
      </w:r>
    </w:p>
    <w:tbl>
      <w:tblPr>
        <w:tblStyle w:val="13"/>
        <w:tblpPr w:leftFromText="180" w:rightFromText="180" w:vertAnchor="text" w:horzAnchor="page" w:tblpX="1438" w:tblpY="523"/>
        <w:tblOverlap w:val="never"/>
        <w:tblW w:w="5009" w:type="pct"/>
        <w:tblInd w:w="0" w:type="dxa"/>
        <w:tblBorders>
          <w:top w:val="single" w:color="E5E5E5" w:sz="6" w:space="0"/>
          <w:left w:val="single" w:color="E5E5E5" w:sz="6" w:space="0"/>
          <w:bottom w:val="single" w:color="E5E5E5" w:sz="6" w:space="0"/>
          <w:right w:val="single" w:color="E5E5E5" w:sz="6" w:space="0"/>
          <w:insideH w:val="outset" w:color="auto" w:sz="6" w:space="0"/>
          <w:insideV w:val="outset" w:color="auto" w:sz="6" w:space="0"/>
        </w:tblBorders>
        <w:tblLayout w:type="autofit"/>
        <w:tblCellMar>
          <w:top w:w="0" w:type="dxa"/>
          <w:left w:w="0" w:type="dxa"/>
          <w:bottom w:w="0" w:type="dxa"/>
          <w:right w:w="0" w:type="dxa"/>
        </w:tblCellMar>
      </w:tblPr>
      <w:tblGrid>
        <w:gridCol w:w="2661"/>
        <w:gridCol w:w="6215"/>
      </w:tblGrid>
      <w:tr>
        <w:tblPrEx>
          <w:tblBorders>
            <w:top w:val="single" w:color="E5E5E5" w:sz="6" w:space="0"/>
            <w:left w:val="single" w:color="E5E5E5" w:sz="6" w:space="0"/>
            <w:bottom w:val="single" w:color="E5E5E5" w:sz="6" w:space="0"/>
            <w:right w:val="single" w:color="E5E5E5" w:sz="6" w:space="0"/>
            <w:insideH w:val="outset" w:color="auto" w:sz="6" w:space="0"/>
            <w:insideV w:val="outset" w:color="auto" w:sz="6" w:space="0"/>
          </w:tblBorders>
          <w:tblCellMar>
            <w:top w:w="0" w:type="dxa"/>
            <w:left w:w="0" w:type="dxa"/>
            <w:bottom w:w="0" w:type="dxa"/>
            <w:right w:w="0" w:type="dxa"/>
          </w:tblCellMar>
        </w:tblPrEx>
        <w:tc>
          <w:tcPr>
            <w:tcW w:w="1499" w:type="pct"/>
            <w:tcBorders>
              <w:top w:val="single" w:color="E5E5E5" w:sz="6" w:space="0"/>
              <w:left w:val="single" w:color="E5E5E5" w:sz="6" w:space="0"/>
              <w:bottom w:val="single" w:color="E5E5E5" w:sz="6" w:space="0"/>
              <w:right w:val="single" w:color="E5E5E5" w:sz="6" w:space="0"/>
            </w:tcBorders>
            <w:noWrap w:val="0"/>
            <w:vAlign w:val="center"/>
          </w:tcPr>
          <w:p>
            <w:pPr>
              <w:ind w:firstLine="201" w:firstLineChars="63"/>
              <w:jc w:val="center"/>
              <w:rPr>
                <w:rFonts w:hint="eastAsia" w:ascii="仿宋_GB2312" w:hAnsi="宋体" w:eastAsia="仿宋_GB2312"/>
                <w:sz w:val="32"/>
                <w:szCs w:val="32"/>
              </w:rPr>
            </w:pPr>
            <w:r>
              <w:rPr>
                <w:rFonts w:hint="eastAsia" w:ascii="仿宋_GB2312" w:hAnsi="宋体" w:eastAsia="仿宋_GB2312"/>
                <w:sz w:val="32"/>
                <w:szCs w:val="32"/>
              </w:rPr>
              <w:t>编号</w:t>
            </w:r>
          </w:p>
        </w:tc>
        <w:tc>
          <w:tcPr>
            <w:tcW w:w="3500" w:type="pct"/>
            <w:tcBorders>
              <w:top w:val="single" w:color="E5E5E5" w:sz="6" w:space="0"/>
              <w:left w:val="single" w:color="E5E5E5" w:sz="6" w:space="0"/>
              <w:bottom w:val="single" w:color="E5E5E5" w:sz="6" w:space="0"/>
              <w:right w:val="single" w:color="E5E5E5" w:sz="6" w:space="0"/>
            </w:tcBorders>
            <w:noWrap w:val="0"/>
            <w:vAlign w:val="center"/>
          </w:tcPr>
          <w:p>
            <w:pPr>
              <w:ind w:firstLine="201" w:firstLineChars="63"/>
              <w:jc w:val="center"/>
              <w:rPr>
                <w:rFonts w:hint="eastAsia" w:ascii="楷体_GB2312" w:eastAsia="楷体_GB2312" w:cs="宋体"/>
                <w:sz w:val="32"/>
                <w:szCs w:val="32"/>
              </w:rPr>
            </w:pPr>
            <w:r>
              <w:rPr>
                <w:rFonts w:hint="eastAsia" w:ascii="仿宋_GB2312"/>
              </w:rPr>
              <w:t>青李沧政办发</w:t>
            </w:r>
            <w:r>
              <w:rPr>
                <w:rFonts w:hint="eastAsia" w:ascii="仿宋_GB2312" w:hAnsi="宋体"/>
              </w:rPr>
              <w:t>〔</w:t>
            </w:r>
            <w:r>
              <w:rPr>
                <w:rFonts w:hint="eastAsia" w:ascii="仿宋_GB2312"/>
              </w:rPr>
              <w:t>2</w:t>
            </w:r>
            <w:r>
              <w:rPr>
                <w:rFonts w:ascii="仿宋_GB2312"/>
              </w:rPr>
              <w:t>023</w:t>
            </w:r>
            <w:r>
              <w:rPr>
                <w:rFonts w:hint="eastAsia" w:ascii="仿宋_GB2312" w:hAnsi="宋体"/>
              </w:rPr>
              <w:t>〕</w:t>
            </w:r>
            <w:r>
              <w:rPr>
                <w:rFonts w:ascii="仿宋_GB2312" w:hAnsi="宋体"/>
              </w:rPr>
              <w:t>26</w:t>
            </w:r>
            <w:r>
              <w:rPr>
                <w:rFonts w:hint="eastAsia" w:ascii="仿宋_GB2312"/>
              </w:rPr>
              <w:t>号</w:t>
            </w:r>
          </w:p>
        </w:tc>
      </w:tr>
      <w:tr>
        <w:tblPrEx>
          <w:tblBorders>
            <w:top w:val="single" w:color="E5E5E5" w:sz="6" w:space="0"/>
            <w:left w:val="single" w:color="E5E5E5" w:sz="6" w:space="0"/>
            <w:bottom w:val="single" w:color="E5E5E5" w:sz="6" w:space="0"/>
            <w:right w:val="single" w:color="E5E5E5" w:sz="6" w:space="0"/>
            <w:insideH w:val="outset" w:color="auto" w:sz="6" w:space="0"/>
            <w:insideV w:val="outset" w:color="auto" w:sz="6" w:space="0"/>
          </w:tblBorders>
          <w:tblCellMar>
            <w:top w:w="0" w:type="dxa"/>
            <w:left w:w="0" w:type="dxa"/>
            <w:bottom w:w="0" w:type="dxa"/>
            <w:right w:w="0" w:type="dxa"/>
          </w:tblCellMar>
        </w:tblPrEx>
        <w:tc>
          <w:tcPr>
            <w:tcW w:w="1499" w:type="pct"/>
            <w:tcBorders>
              <w:top w:val="single" w:color="E5E5E5" w:sz="6" w:space="0"/>
              <w:left w:val="single" w:color="E5E5E5" w:sz="6" w:space="0"/>
              <w:bottom w:val="single" w:color="E5E5E5" w:sz="6" w:space="0"/>
              <w:right w:val="single" w:color="E5E5E5" w:sz="6" w:space="0"/>
            </w:tcBorders>
            <w:noWrap w:val="0"/>
            <w:vAlign w:val="center"/>
          </w:tcPr>
          <w:p>
            <w:pPr>
              <w:ind w:firstLine="201" w:firstLineChars="63"/>
              <w:jc w:val="left"/>
              <w:rPr>
                <w:rFonts w:hint="eastAsia" w:ascii="仿宋_GB2312" w:hAnsi="宋体" w:eastAsia="仿宋_GB2312"/>
                <w:sz w:val="32"/>
                <w:szCs w:val="32"/>
              </w:rPr>
            </w:pPr>
            <w:r>
              <w:rPr>
                <w:rFonts w:hint="eastAsia" w:ascii="仿宋_GB2312" w:hAnsi="宋体" w:eastAsia="仿宋_GB2312"/>
                <w:sz w:val="32"/>
                <w:szCs w:val="32"/>
              </w:rPr>
              <w:t>规范性文件编号</w:t>
            </w:r>
          </w:p>
        </w:tc>
        <w:tc>
          <w:tcPr>
            <w:tcW w:w="3500" w:type="pct"/>
            <w:tcBorders>
              <w:top w:val="single" w:color="E5E5E5" w:sz="6" w:space="0"/>
              <w:left w:val="single" w:color="E5E5E5" w:sz="6" w:space="0"/>
              <w:bottom w:val="single" w:color="E5E5E5" w:sz="6" w:space="0"/>
              <w:right w:val="single" w:color="E5E5E5" w:sz="6" w:space="0"/>
            </w:tcBorders>
            <w:noWrap w:val="0"/>
            <w:vAlign w:val="center"/>
          </w:tcPr>
          <w:p>
            <w:pPr>
              <w:spacing w:line="560" w:lineRule="exact"/>
              <w:jc w:val="center"/>
              <w:rPr>
                <w:rFonts w:hint="eastAsia" w:ascii="仿宋_GB2312" w:hAnsi="宋体" w:eastAsia="仿宋_GB2312"/>
                <w:sz w:val="32"/>
                <w:szCs w:val="32"/>
              </w:rPr>
            </w:pPr>
            <w:r>
              <w:rPr>
                <w:rFonts w:hint="eastAsia" w:ascii="黑体" w:hAnsi="黑体" w:eastAsia="黑体"/>
                <w:szCs w:val="32"/>
              </w:rPr>
              <w:t>LCDR-2023-002</w:t>
            </w:r>
            <w:bookmarkStart w:id="0" w:name="_GoBack"/>
            <w:bookmarkEnd w:id="0"/>
            <w:r>
              <w:rPr>
                <w:rFonts w:hint="eastAsia" w:ascii="黑体" w:hAnsi="黑体" w:eastAsia="黑体"/>
                <w:szCs w:val="32"/>
              </w:rPr>
              <w:t>0001</w:t>
            </w:r>
          </w:p>
        </w:tc>
      </w:tr>
    </w:tbl>
    <w:p>
      <w:pPr>
        <w:spacing w:line="560" w:lineRule="exact"/>
        <w:rPr>
          <w:rFonts w:ascii="方正小标宋_GBK" w:hAnsi="宋体" w:eastAsia="方正小标宋_GBK" w:cs="宋体"/>
          <w:spacing w:val="-8"/>
          <w:sz w:val="36"/>
          <w:szCs w:val="36"/>
        </w:rPr>
      </w:pPr>
    </w:p>
    <w:p>
      <w:pPr>
        <w:spacing w:line="600" w:lineRule="exact"/>
        <w:rPr>
          <w:rFonts w:ascii="仿宋_GB2312"/>
          <w:szCs w:val="32"/>
        </w:rPr>
      </w:pPr>
      <w:r>
        <w:rPr>
          <w:rFonts w:hint="eastAsia" w:ascii="仿宋_GB2312"/>
          <w:szCs w:val="32"/>
        </w:rPr>
        <w:t>各街道办事处，区政府各部门，区直各单位，各区属国有企业：</w:t>
      </w:r>
    </w:p>
    <w:p>
      <w:pPr>
        <w:spacing w:line="560" w:lineRule="exact"/>
        <w:ind w:firstLine="640" w:firstLineChars="200"/>
        <w:rPr>
          <w:rFonts w:ascii="仿宋_GB2312"/>
        </w:rPr>
      </w:pPr>
      <w:r>
        <w:rPr>
          <w:rFonts w:hint="eastAsia" w:ascii="仿宋_GB2312"/>
          <w:szCs w:val="32"/>
        </w:rPr>
        <w:t>《李沧区加快清洁能源供热发展若干政策措施》已经区政府研究同意，现印发给你们，请结合实际认真贯彻执行。</w:t>
      </w:r>
    </w:p>
    <w:p>
      <w:pPr>
        <w:spacing w:line="560" w:lineRule="exact"/>
        <w:ind w:firstLine="640" w:firstLineChars="200"/>
        <w:rPr>
          <w:rFonts w:ascii="仿宋_GB2312"/>
        </w:rPr>
      </w:pPr>
    </w:p>
    <w:p>
      <w:pPr>
        <w:spacing w:line="560" w:lineRule="exact"/>
        <w:ind w:right="336" w:rightChars="105" w:firstLine="4960" w:firstLineChars="1550"/>
        <w:jc w:val="left"/>
      </w:pPr>
      <w:r>
        <w:rPr>
          <w:rFonts w:hint="eastAsia"/>
        </w:rPr>
        <w:t>李沧区人民政府办公室</w:t>
      </w:r>
    </w:p>
    <w:p>
      <w:pPr>
        <w:wordWrap w:val="0"/>
        <w:spacing w:line="560" w:lineRule="exact"/>
        <w:jc w:val="right"/>
        <w:rPr>
          <w:rFonts w:ascii="仿宋_GB2312"/>
        </w:rPr>
      </w:pPr>
      <w:r>
        <w:rPr>
          <w:rFonts w:hint="eastAsia" w:ascii="仿宋_GB2312"/>
        </w:rPr>
        <w:t>2023年</w:t>
      </w:r>
      <w:r>
        <w:rPr>
          <w:rFonts w:ascii="仿宋_GB2312"/>
        </w:rPr>
        <w:t>8</w:t>
      </w:r>
      <w:r>
        <w:rPr>
          <w:rFonts w:hint="eastAsia" w:ascii="仿宋_GB2312"/>
        </w:rPr>
        <w:t>月</w:t>
      </w:r>
      <w:r>
        <w:rPr>
          <w:rFonts w:ascii="仿宋_GB2312"/>
        </w:rPr>
        <w:t>18</w:t>
      </w:r>
      <w:r>
        <w:rPr>
          <w:rFonts w:hint="eastAsia" w:ascii="仿宋_GB2312"/>
        </w:rPr>
        <w:t xml:space="preserve">日 </w:t>
      </w:r>
      <w:r>
        <w:rPr>
          <w:rFonts w:ascii="仿宋_GB2312"/>
        </w:rPr>
        <w:t xml:space="preserve">   </w:t>
      </w:r>
    </w:p>
    <w:p>
      <w:pPr>
        <w:spacing w:line="560" w:lineRule="exact"/>
        <w:ind w:firstLine="640" w:firstLineChars="200"/>
        <w:jc w:val="left"/>
        <w:rPr>
          <w:rFonts w:ascii="仿宋_GB2312"/>
        </w:rPr>
      </w:pPr>
      <w:r>
        <w:rPr>
          <w:rFonts w:hint="eastAsia" w:ascii="仿宋_GB2312" w:hAnsi="仿宋_GB2312" w:cs="仿宋_GB2312"/>
          <w:szCs w:val="32"/>
        </w:rPr>
        <w:t>（此件公开发布）</w:t>
      </w:r>
    </w:p>
    <w:p>
      <w:pPr>
        <w:jc w:val="left"/>
        <w:rPr>
          <w:rFonts w:ascii="仿宋_GB2312"/>
        </w:rPr>
      </w:pPr>
      <w:r>
        <w:rPr>
          <w:rFonts w:ascii="仿宋_GB2312"/>
        </w:rPr>
        <w:br w:type="page"/>
      </w:r>
    </w:p>
    <w:p>
      <w:pPr>
        <w:spacing w:line="560" w:lineRule="exact"/>
        <w:jc w:val="center"/>
        <w:rPr>
          <w:rFonts w:ascii="方正小标宋_GBK" w:eastAsia="方正小标宋_GBK"/>
          <w:sz w:val="44"/>
          <w:szCs w:val="44"/>
        </w:rPr>
      </w:pPr>
      <w:r>
        <w:rPr>
          <w:rFonts w:hint="eastAsia" w:ascii="方正小标宋_GBK" w:eastAsia="方正小标宋_GBK"/>
          <w:sz w:val="44"/>
          <w:szCs w:val="44"/>
        </w:rPr>
        <w:t>李沧区加快清洁能源供热发展若干政策措施</w:t>
      </w:r>
    </w:p>
    <w:p>
      <w:pPr>
        <w:spacing w:line="560" w:lineRule="exact"/>
        <w:ind w:firstLine="640" w:firstLineChars="200"/>
        <w:rPr>
          <w:rFonts w:ascii="仿宋_GB2312"/>
          <w:szCs w:val="32"/>
        </w:rPr>
      </w:pPr>
    </w:p>
    <w:p>
      <w:pPr>
        <w:spacing w:line="560" w:lineRule="exact"/>
        <w:ind w:firstLine="640" w:firstLineChars="200"/>
        <w:rPr>
          <w:rFonts w:ascii="仿宋_GB2312"/>
          <w:szCs w:val="32"/>
        </w:rPr>
      </w:pPr>
      <w:r>
        <w:rPr>
          <w:rFonts w:hint="eastAsia" w:ascii="仿宋_GB2312"/>
          <w:szCs w:val="32"/>
        </w:rPr>
        <w:t>为助力实现全区碳达峰、碳中和目标，有效改善城市空气质量和群众生产生活环境，加快我区清洁能源供热发展，根据国家、省、市有关规定，结合我区实际，制定以下政策措施。</w:t>
      </w:r>
    </w:p>
    <w:p>
      <w:pPr>
        <w:spacing w:line="560" w:lineRule="exact"/>
        <w:ind w:firstLine="640" w:firstLineChars="200"/>
        <w:rPr>
          <w:rFonts w:ascii="黑体" w:hAnsi="黑体" w:eastAsia="黑体"/>
          <w:szCs w:val="32"/>
        </w:rPr>
      </w:pPr>
      <w:r>
        <w:rPr>
          <w:rFonts w:hint="eastAsia" w:ascii="黑体" w:hAnsi="黑体" w:eastAsia="黑体"/>
          <w:szCs w:val="32"/>
        </w:rPr>
        <w:t>一、全面实施清洁能源供热</w:t>
      </w:r>
    </w:p>
    <w:p>
      <w:pPr>
        <w:spacing w:line="560" w:lineRule="exact"/>
        <w:ind w:firstLine="640" w:firstLineChars="200"/>
        <w:rPr>
          <w:rFonts w:ascii="仿宋_GB2312"/>
          <w:szCs w:val="32"/>
        </w:rPr>
      </w:pPr>
      <w:r>
        <w:rPr>
          <w:rFonts w:hint="eastAsia" w:ascii="仿宋_GB2312"/>
          <w:szCs w:val="32"/>
        </w:rPr>
        <w:t>1.本规定所称清洁能源供热，主要是指利用天然气、污水源、海水源、土壤源、空气源、太阳能、生物质能等能源的集中供热。</w:t>
      </w:r>
    </w:p>
    <w:p>
      <w:pPr>
        <w:spacing w:line="560" w:lineRule="exact"/>
        <w:ind w:firstLine="640" w:firstLineChars="200"/>
        <w:rPr>
          <w:rFonts w:ascii="仿宋_GB2312"/>
          <w:szCs w:val="32"/>
        </w:rPr>
      </w:pPr>
      <w:r>
        <w:rPr>
          <w:rFonts w:hint="eastAsia" w:ascii="仿宋_GB2312"/>
          <w:szCs w:val="32"/>
        </w:rPr>
        <w:t>李沧区域内原则上不再新建传统燃煤供热项目。</w:t>
      </w:r>
    </w:p>
    <w:p>
      <w:pPr>
        <w:spacing w:line="560" w:lineRule="exact"/>
        <w:ind w:firstLine="640" w:firstLineChars="200"/>
        <w:rPr>
          <w:rFonts w:ascii="仿宋_GB2312"/>
          <w:szCs w:val="32"/>
        </w:rPr>
      </w:pPr>
      <w:r>
        <w:rPr>
          <w:rFonts w:hint="eastAsia" w:ascii="仿宋_GB2312"/>
          <w:szCs w:val="32"/>
        </w:rPr>
        <w:t>2.鼓励清洁供热方式联合使用和清洁能源梯级利用。充分利用大型热电联产机组循环水和工业余热等供热，有序推进天然气供热，因地制宜发展污水源、海水源、土壤源、空气源、太阳能、生物质能等能源供热，鼓励建设谷电储能设施。探索核电余热、氢能供热，相关项目按照“一事一议”原则报市政府确定。</w:t>
      </w:r>
    </w:p>
    <w:p>
      <w:pPr>
        <w:spacing w:line="560" w:lineRule="exact"/>
        <w:ind w:firstLine="640" w:firstLineChars="200"/>
        <w:rPr>
          <w:rFonts w:ascii="仿宋_GB2312"/>
          <w:szCs w:val="32"/>
        </w:rPr>
      </w:pPr>
      <w:r>
        <w:rPr>
          <w:rFonts w:hint="eastAsia" w:ascii="仿宋_GB2312"/>
          <w:szCs w:val="32"/>
        </w:rPr>
        <w:t>3.特许经营供热企业应在特许经营范围内积极发展清洁能源供热。</w:t>
      </w:r>
    </w:p>
    <w:p>
      <w:pPr>
        <w:spacing w:line="560" w:lineRule="exact"/>
        <w:ind w:firstLine="640" w:firstLineChars="200"/>
        <w:rPr>
          <w:rFonts w:ascii="仿宋_GB2312"/>
          <w:szCs w:val="32"/>
        </w:rPr>
      </w:pPr>
      <w:r>
        <w:rPr>
          <w:rFonts w:hint="eastAsia" w:ascii="仿宋_GB2312"/>
          <w:szCs w:val="32"/>
        </w:rPr>
        <w:t>4.新建公共建筑应当优先使用工业余热、清洁能源供热。鼓励既有公共建筑项目退出燃煤集中供热，采用清洁能源等方式供热。特许经营范围内公共建筑的建设单位可自建自用清洁能源设施供热。</w:t>
      </w:r>
    </w:p>
    <w:p>
      <w:pPr>
        <w:spacing w:line="560" w:lineRule="exact"/>
        <w:ind w:firstLine="640" w:firstLineChars="200"/>
        <w:rPr>
          <w:rFonts w:ascii="黑体" w:hAnsi="黑体" w:eastAsia="黑体"/>
          <w:szCs w:val="32"/>
        </w:rPr>
      </w:pPr>
      <w:r>
        <w:rPr>
          <w:rFonts w:hint="eastAsia" w:ascii="黑体" w:hAnsi="黑体" w:eastAsia="黑体"/>
          <w:szCs w:val="32"/>
        </w:rPr>
        <w:t>二、规范清洁能源供热规划建设</w:t>
      </w:r>
    </w:p>
    <w:p>
      <w:pPr>
        <w:spacing w:line="560" w:lineRule="exact"/>
        <w:ind w:firstLine="640" w:firstLineChars="200"/>
        <w:rPr>
          <w:rFonts w:ascii="仿宋_GB2312"/>
          <w:szCs w:val="32"/>
        </w:rPr>
      </w:pPr>
      <w:r>
        <w:rPr>
          <w:rFonts w:hint="eastAsia" w:ascii="仿宋_GB2312"/>
          <w:szCs w:val="32"/>
        </w:rPr>
        <w:t>5.在相关规划建设工作中，新建工程应积极推进使用清洁能源供热。建设项目的规划设计条件（选址意见书）和建设条件意见书应当按照供热专业规划明确清洁能源使用要求;属于以招标、拍卖或者挂牌方式出让国有土地使用权的,应当将清洁能源使用要求纳入出让文件。供热方式一经确定，开发建设单位不得擅自更改。</w:t>
      </w:r>
    </w:p>
    <w:p>
      <w:pPr>
        <w:spacing w:line="560" w:lineRule="exact"/>
        <w:ind w:firstLine="640" w:firstLineChars="200"/>
        <w:rPr>
          <w:rFonts w:ascii="仿宋_GB2312"/>
          <w:szCs w:val="32"/>
        </w:rPr>
      </w:pPr>
      <w:r>
        <w:rPr>
          <w:rFonts w:hint="eastAsia" w:ascii="仿宋_GB2312"/>
          <w:szCs w:val="32"/>
        </w:rPr>
        <w:t>6.对利用公共或其他主体的地下空间独立建设为周边区域多个项目供热的清洁能源供热项目，自然资源和规划、行政审批等部门要依法办理规划许可、土地供应、施工许可等手续，符合《划拨用地目录》的，实行划拨供地。</w:t>
      </w:r>
    </w:p>
    <w:p>
      <w:pPr>
        <w:spacing w:line="560" w:lineRule="exact"/>
        <w:ind w:firstLine="640" w:firstLineChars="200"/>
        <w:rPr>
          <w:rFonts w:ascii="仿宋_GB2312"/>
          <w:szCs w:val="32"/>
        </w:rPr>
      </w:pPr>
      <w:r>
        <w:rPr>
          <w:rFonts w:hint="eastAsia" w:ascii="仿宋_GB2312"/>
          <w:szCs w:val="32"/>
        </w:rPr>
        <w:t>7.利用清洁能源实行供热的开发建设项目，开发建设单位须落实各项建设条件，将设计方案报李沧区供热建设主管部门，同时，应当对项目的节能减排水平、技术方案、供热保障能力、供热安全性等进行预评估，将评估报告报送李沧区供热建设主管部门，并按程序到市、区相关部门办理后续建设手续，未办理相关手续不予补助、补贴。使用天然气实施集中供热的，应落实天然气气源，签定天然气保障合同。</w:t>
      </w:r>
    </w:p>
    <w:p>
      <w:pPr>
        <w:spacing w:line="560" w:lineRule="exact"/>
        <w:ind w:firstLine="640" w:firstLineChars="200"/>
        <w:rPr>
          <w:rFonts w:ascii="黑体" w:hAnsi="黑体" w:eastAsia="黑体"/>
          <w:szCs w:val="32"/>
        </w:rPr>
      </w:pPr>
      <w:r>
        <w:rPr>
          <w:rFonts w:hint="eastAsia" w:ascii="黑体" w:hAnsi="黑体" w:eastAsia="黑体"/>
          <w:szCs w:val="32"/>
        </w:rPr>
        <w:t>三、加大清洁能源供热建设资金支持</w:t>
      </w:r>
    </w:p>
    <w:p>
      <w:pPr>
        <w:spacing w:line="550" w:lineRule="exact"/>
        <w:ind w:firstLine="640" w:firstLineChars="200"/>
        <w:rPr>
          <w:rFonts w:ascii="仿宋_GB2312"/>
          <w:szCs w:val="32"/>
        </w:rPr>
      </w:pPr>
      <w:r>
        <w:rPr>
          <w:rFonts w:hint="eastAsia" w:ascii="仿宋_GB2312"/>
          <w:szCs w:val="32"/>
        </w:rPr>
        <w:t>8.接入市政集中供热管网的新建清洁能源供热项目,由李沧区供热建设主管部门审定,建设资金从市级实际返还李沧区的基础设施配套费额度内统筹安排使用;未接入市政集中供热管网的新建清洁能源供热项目,由建设资金主管部门负责审定给予建设投资补助,资金从市级实际返还李沧区该项目的基础设施配套费中安排,最高不超过其所返还的基础设施配套费中用于供热建设支出部分。免缴配套费项目不予补助。</w:t>
      </w:r>
    </w:p>
    <w:p>
      <w:pPr>
        <w:spacing w:line="550" w:lineRule="exact"/>
        <w:ind w:firstLine="640" w:firstLineChars="200"/>
        <w:rPr>
          <w:rFonts w:ascii="仿宋_GB2312"/>
          <w:szCs w:val="32"/>
        </w:rPr>
      </w:pPr>
      <w:r>
        <w:rPr>
          <w:rFonts w:hint="eastAsia" w:ascii="仿宋_GB2312"/>
          <w:szCs w:val="32"/>
        </w:rPr>
        <w:t>建设投资补助计划经批准后由李沧区供热建设主管部门下达，项目设计方案审查且概算批复后，先行下达50%概算值（不高于新能源供热部分的配套费返还金额）的计划，工程竣工验收备案后，下达至80%，后由清洁能源供热建设单位按照程序申请结算审核，接入市政集中供热管网的新建清洁能源供热项目由李沧区供热建设主管部门申请竣工财务决算。李沧区供热建设主管部门根据结算审核结果或竣工财务决算结果和补助限额，在正式供暖且稳定达标二个供暖季、通过项目后评估后下达剩余补助计划。财政部门根据下达的配套费投资补助资金计划，按程序拨付补助资金。期间若有重大项目变更，李沧区供热建设主管部门有权对已拨付的补助资金进行追缴。</w:t>
      </w:r>
    </w:p>
    <w:p>
      <w:pPr>
        <w:spacing w:line="550" w:lineRule="exact"/>
        <w:ind w:firstLine="640" w:firstLineChars="200"/>
        <w:rPr>
          <w:rFonts w:ascii="仿宋_GB2312"/>
          <w:szCs w:val="32"/>
        </w:rPr>
      </w:pPr>
      <w:r>
        <w:rPr>
          <w:rFonts w:hint="eastAsia" w:ascii="仿宋_GB2312"/>
          <w:szCs w:val="32"/>
        </w:rPr>
        <w:t>9.清洁能源供热建设单位申请供热投资补助时，应提交企业法人营业执照，开发建设项目经批准的平面图、管网综合图，清洁能源供热项目的审批（接入市政集中供热管网的新建清洁能源供热项目）、核准或备案批准文件，所依附的开发建设项目立项、规划、国土、环评等相关批准文件，经审查机构批准的清洁能源供热项目施工图及施工图预算，清洁能源供热项目的招投标文件，开发建设单位与清洁能源供热建设单位签订的供能配套工程建设合同。使用天然气实施供热的，还应提供与供气企业签订的天然气保障合同。</w:t>
      </w:r>
    </w:p>
    <w:p>
      <w:pPr>
        <w:spacing w:line="550" w:lineRule="exact"/>
        <w:ind w:firstLine="640" w:firstLineChars="200"/>
        <w:rPr>
          <w:rFonts w:ascii="仿宋_GB2312"/>
          <w:szCs w:val="32"/>
        </w:rPr>
      </w:pPr>
      <w:r>
        <w:rPr>
          <w:rFonts w:hint="eastAsia" w:ascii="仿宋_GB2312"/>
          <w:szCs w:val="32"/>
        </w:rPr>
        <w:t>开发建设单位原则上每年9月底前向李沧区供热建设主管部门提报下一预算年度清洁能源供热建设项目资金计划，未按要求提报相关资料的，根据审核情况纳入以后年度资金计划。</w:t>
      </w:r>
    </w:p>
    <w:p>
      <w:pPr>
        <w:spacing w:line="550" w:lineRule="exact"/>
        <w:ind w:firstLine="640" w:firstLineChars="200"/>
        <w:rPr>
          <w:rFonts w:ascii="仿宋_GB2312"/>
          <w:szCs w:val="32"/>
        </w:rPr>
      </w:pPr>
      <w:r>
        <w:rPr>
          <w:rFonts w:hint="eastAsia" w:ascii="仿宋_GB2312"/>
          <w:szCs w:val="32"/>
        </w:rPr>
        <w:t>10.开发单位和清洁能源建设单位要严格按照审计结算的要求，对施工过程中隐蔽工程的视频资料、签证等及时进行存档，在审计结算阶段配合提供相关档案资料。</w:t>
      </w:r>
    </w:p>
    <w:p>
      <w:pPr>
        <w:spacing w:line="550" w:lineRule="exact"/>
        <w:ind w:firstLine="640" w:firstLineChars="200"/>
        <w:rPr>
          <w:rFonts w:ascii="仿宋_GB2312"/>
          <w:szCs w:val="32"/>
        </w:rPr>
      </w:pPr>
      <w:r>
        <w:rPr>
          <w:rFonts w:hint="eastAsia" w:ascii="仿宋_GB2312"/>
          <w:szCs w:val="32"/>
        </w:rPr>
        <w:t>11.区发展改革、财政、城市建设管理、地方金融监管等部门通过争取中央、省、市基本建设投资项目补助和发行地方政府专项债券等方式，对现有燃煤集中供热实施清洁能源供热改（扩）建项目予以支持，支持供热企业通过政策性贷款、银行贷款等方式解决建设资金，引导各类金融机构加大对清洁能源供热项目信贷支持力度，提高企业授信额度，实行优惠贷款利率政策。</w:t>
      </w:r>
    </w:p>
    <w:p>
      <w:pPr>
        <w:spacing w:line="550" w:lineRule="exact"/>
        <w:ind w:firstLine="640" w:firstLineChars="200"/>
        <w:rPr>
          <w:rFonts w:ascii="仿宋_GB2312"/>
          <w:szCs w:val="32"/>
        </w:rPr>
      </w:pPr>
      <w:r>
        <w:rPr>
          <w:rFonts w:hint="eastAsia" w:ascii="黑体" w:hAnsi="黑体" w:eastAsia="黑体"/>
          <w:szCs w:val="32"/>
        </w:rPr>
        <w:t>四、优化清洁能源供热运行管理</w:t>
      </w:r>
    </w:p>
    <w:p>
      <w:pPr>
        <w:spacing w:line="550" w:lineRule="exact"/>
        <w:ind w:firstLine="640" w:firstLineChars="200"/>
        <w:rPr>
          <w:rFonts w:ascii="仿宋_GB2312"/>
          <w:szCs w:val="32"/>
        </w:rPr>
      </w:pPr>
      <w:r>
        <w:rPr>
          <w:rFonts w:hint="eastAsia" w:ascii="仿宋_GB2312"/>
          <w:szCs w:val="32"/>
        </w:rPr>
        <w:t>12.清洁能源供热项目投入运行前，清洁能源供热企业应按照有关规定，取得供热经营许可。未取得供热经营许可，不得从事供热经营活动。</w:t>
      </w:r>
    </w:p>
    <w:p>
      <w:pPr>
        <w:spacing w:line="550" w:lineRule="exact"/>
        <w:ind w:firstLine="640" w:firstLineChars="200"/>
        <w:rPr>
          <w:rFonts w:ascii="黑体" w:hAnsi="黑体" w:eastAsia="黑体"/>
          <w:szCs w:val="32"/>
        </w:rPr>
      </w:pPr>
      <w:r>
        <w:rPr>
          <w:rFonts w:hint="eastAsia" w:ascii="黑体" w:hAnsi="黑体" w:eastAsia="黑体"/>
          <w:szCs w:val="32"/>
        </w:rPr>
        <w:t>五、附则</w:t>
      </w:r>
    </w:p>
    <w:p>
      <w:pPr>
        <w:spacing w:line="550" w:lineRule="exact"/>
        <w:ind w:firstLine="640" w:firstLineChars="200"/>
        <w:rPr>
          <w:rFonts w:ascii="仿宋_GB2312"/>
          <w:sz w:val="28"/>
          <w:szCs w:val="28"/>
        </w:rPr>
      </w:pPr>
      <w:r>
        <w:rPr>
          <w:rFonts w:hint="eastAsia" w:ascii="仿宋_GB2312"/>
          <w:szCs w:val="32"/>
        </w:rPr>
        <w:t>13.本规定自2023年10月17日起施行，有效期至2028年10月16日。本文件印发前清洁能源供热项目已完成相关手续审批的按照原政策执行。本规定在实施过程中，如遇上级相关政策进行调整，以上级调整后的政策为准执行。</w:t>
      </w:r>
    </w:p>
    <w:sectPr>
      <w:footerReference r:id="rId3" w:type="default"/>
      <w:footerReference r:id="rId4" w:type="even"/>
      <w:pgSz w:w="11906" w:h="16838"/>
      <w:pgMar w:top="2098" w:right="1474" w:bottom="1985" w:left="1588" w:header="851" w:footer="1219" w:gutter="0"/>
      <w:pgNumType w:fmt="numberInDash"/>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2000000000000000000"/>
    <w:charset w:val="86"/>
    <w:family w:val="script"/>
    <w:pitch w:val="default"/>
    <w:sig w:usb0="00000000" w:usb1="00000000"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9392129"/>
      <w:docPartObj>
        <w:docPartGallery w:val="autotext"/>
      </w:docPartObj>
    </w:sdtPr>
    <w:sdtEndPr>
      <w:rPr>
        <w:rFonts w:ascii="宋体" w:hAnsi="宋体" w:eastAsia="宋体"/>
        <w:sz w:val="28"/>
        <w:szCs w:val="28"/>
      </w:rPr>
    </w:sdtEndPr>
    <w:sdtContent>
      <w:p>
        <w:pPr>
          <w:pStyle w:val="8"/>
          <w:wordWrap w:val="0"/>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r>
          <w:rPr>
            <w:rFonts w:ascii="宋体" w:hAnsi="宋体" w:eastAsia="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ind w:firstLine="280" w:firstLineChars="100"/>
      <w:rPr>
        <w:rStyle w:val="16"/>
        <w:rFonts w:ascii="宋体" w:hAnsi="宋体" w:eastAsia="宋体"/>
        <w:sz w:val="28"/>
        <w:szCs w:val="28"/>
      </w:rPr>
    </w:pPr>
    <w:r>
      <w:rPr>
        <w:rStyle w:val="16"/>
        <w:rFonts w:ascii="宋体" w:hAnsi="宋体" w:eastAsia="宋体"/>
        <w:sz w:val="28"/>
        <w:szCs w:val="28"/>
      </w:rPr>
      <w:fldChar w:fldCharType="begin"/>
    </w:r>
    <w:r>
      <w:rPr>
        <w:rStyle w:val="16"/>
        <w:rFonts w:ascii="宋体" w:hAnsi="宋体" w:eastAsia="宋体"/>
        <w:sz w:val="28"/>
        <w:szCs w:val="28"/>
      </w:rPr>
      <w:instrText xml:space="preserve">PAGE  </w:instrText>
    </w:r>
    <w:r>
      <w:rPr>
        <w:rStyle w:val="16"/>
        <w:rFonts w:ascii="宋体" w:hAnsi="宋体" w:eastAsia="宋体"/>
        <w:sz w:val="28"/>
        <w:szCs w:val="28"/>
      </w:rPr>
      <w:fldChar w:fldCharType="separate"/>
    </w:r>
    <w:r>
      <w:rPr>
        <w:rStyle w:val="16"/>
        <w:rFonts w:ascii="宋体" w:hAnsi="宋体" w:eastAsia="宋体"/>
        <w:sz w:val="28"/>
        <w:szCs w:val="28"/>
      </w:rPr>
      <w:t>- 2 -</w:t>
    </w:r>
    <w:r>
      <w:rPr>
        <w:rStyle w:val="16"/>
        <w:rFonts w:ascii="宋体" w:hAnsi="宋体" w:eastAsia="宋体"/>
        <w:sz w:val="28"/>
        <w:szCs w:val="28"/>
      </w:rPr>
      <w:fldChar w:fldCharType="end"/>
    </w:r>
  </w:p>
  <w:p>
    <w:pPr>
      <w:pStyle w:val="8"/>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19"/>
  <w:evenAndOddHeaders w:val="1"/>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3NjQxYmZmN2ZkODIxYWNiNTEzMzQyMTZmNzQ1MmMifQ=="/>
  </w:docVars>
  <w:rsids>
    <w:rsidRoot w:val="00066ABF"/>
    <w:rsid w:val="00004782"/>
    <w:rsid w:val="00006387"/>
    <w:rsid w:val="0001214B"/>
    <w:rsid w:val="000130DE"/>
    <w:rsid w:val="00020637"/>
    <w:rsid w:val="0002342A"/>
    <w:rsid w:val="00024295"/>
    <w:rsid w:val="00024488"/>
    <w:rsid w:val="00025E4D"/>
    <w:rsid w:val="0003762B"/>
    <w:rsid w:val="00037731"/>
    <w:rsid w:val="00042185"/>
    <w:rsid w:val="000515AE"/>
    <w:rsid w:val="000534FA"/>
    <w:rsid w:val="000557D1"/>
    <w:rsid w:val="00055E01"/>
    <w:rsid w:val="00061E04"/>
    <w:rsid w:val="0006336D"/>
    <w:rsid w:val="00063BB3"/>
    <w:rsid w:val="00066ABF"/>
    <w:rsid w:val="000706ED"/>
    <w:rsid w:val="00072926"/>
    <w:rsid w:val="00074CC9"/>
    <w:rsid w:val="000761EA"/>
    <w:rsid w:val="00076F85"/>
    <w:rsid w:val="00082CB5"/>
    <w:rsid w:val="00084C83"/>
    <w:rsid w:val="00084CAD"/>
    <w:rsid w:val="00096AC2"/>
    <w:rsid w:val="000A29F2"/>
    <w:rsid w:val="000A5911"/>
    <w:rsid w:val="000B2715"/>
    <w:rsid w:val="000B327B"/>
    <w:rsid w:val="000B46BD"/>
    <w:rsid w:val="000C0119"/>
    <w:rsid w:val="000C4DAC"/>
    <w:rsid w:val="000C528A"/>
    <w:rsid w:val="000C647D"/>
    <w:rsid w:val="000D6F77"/>
    <w:rsid w:val="000E06C7"/>
    <w:rsid w:val="000E0D1D"/>
    <w:rsid w:val="000E1706"/>
    <w:rsid w:val="000F1795"/>
    <w:rsid w:val="000F60E5"/>
    <w:rsid w:val="000F7179"/>
    <w:rsid w:val="00102BB8"/>
    <w:rsid w:val="001059D7"/>
    <w:rsid w:val="00111DAF"/>
    <w:rsid w:val="00132455"/>
    <w:rsid w:val="00135AF1"/>
    <w:rsid w:val="001408B6"/>
    <w:rsid w:val="001415DC"/>
    <w:rsid w:val="00141D33"/>
    <w:rsid w:val="001421FC"/>
    <w:rsid w:val="001434AF"/>
    <w:rsid w:val="001468EE"/>
    <w:rsid w:val="00146CAD"/>
    <w:rsid w:val="00152DA7"/>
    <w:rsid w:val="00155833"/>
    <w:rsid w:val="00155A8F"/>
    <w:rsid w:val="0015760F"/>
    <w:rsid w:val="00164BF8"/>
    <w:rsid w:val="00175F8F"/>
    <w:rsid w:val="00180C50"/>
    <w:rsid w:val="00182DB0"/>
    <w:rsid w:val="00183939"/>
    <w:rsid w:val="001852C3"/>
    <w:rsid w:val="00187FAC"/>
    <w:rsid w:val="00191549"/>
    <w:rsid w:val="00194218"/>
    <w:rsid w:val="00196E49"/>
    <w:rsid w:val="001B5D54"/>
    <w:rsid w:val="001C1171"/>
    <w:rsid w:val="001D1384"/>
    <w:rsid w:val="001D5A82"/>
    <w:rsid w:val="001D70A4"/>
    <w:rsid w:val="001E0EC6"/>
    <w:rsid w:val="001E2B58"/>
    <w:rsid w:val="001E2BE9"/>
    <w:rsid w:val="001E5161"/>
    <w:rsid w:val="001E5D78"/>
    <w:rsid w:val="001F030C"/>
    <w:rsid w:val="001F4159"/>
    <w:rsid w:val="001F4BC3"/>
    <w:rsid w:val="001F5402"/>
    <w:rsid w:val="001F6037"/>
    <w:rsid w:val="00200A5A"/>
    <w:rsid w:val="002025FC"/>
    <w:rsid w:val="00211210"/>
    <w:rsid w:val="002123AC"/>
    <w:rsid w:val="002129B9"/>
    <w:rsid w:val="00216C71"/>
    <w:rsid w:val="0021711B"/>
    <w:rsid w:val="00221763"/>
    <w:rsid w:val="00221B64"/>
    <w:rsid w:val="00221FAA"/>
    <w:rsid w:val="00233112"/>
    <w:rsid w:val="00236625"/>
    <w:rsid w:val="00236CCA"/>
    <w:rsid w:val="00242D44"/>
    <w:rsid w:val="00243F69"/>
    <w:rsid w:val="00244C43"/>
    <w:rsid w:val="00254AA1"/>
    <w:rsid w:val="002550CA"/>
    <w:rsid w:val="00260E7B"/>
    <w:rsid w:val="00261703"/>
    <w:rsid w:val="002667C5"/>
    <w:rsid w:val="002703DC"/>
    <w:rsid w:val="0027343E"/>
    <w:rsid w:val="00274218"/>
    <w:rsid w:val="00274326"/>
    <w:rsid w:val="002773A2"/>
    <w:rsid w:val="00282873"/>
    <w:rsid w:val="00284045"/>
    <w:rsid w:val="00284D48"/>
    <w:rsid w:val="00286A41"/>
    <w:rsid w:val="00286B9C"/>
    <w:rsid w:val="00291935"/>
    <w:rsid w:val="00293943"/>
    <w:rsid w:val="00297D50"/>
    <w:rsid w:val="002A0BB0"/>
    <w:rsid w:val="002A3873"/>
    <w:rsid w:val="002A4546"/>
    <w:rsid w:val="002A7F19"/>
    <w:rsid w:val="002B0373"/>
    <w:rsid w:val="002B31EE"/>
    <w:rsid w:val="002B5D00"/>
    <w:rsid w:val="002B613B"/>
    <w:rsid w:val="002B6C3F"/>
    <w:rsid w:val="002C123B"/>
    <w:rsid w:val="002C4E8B"/>
    <w:rsid w:val="002C5D10"/>
    <w:rsid w:val="002C6464"/>
    <w:rsid w:val="002C6975"/>
    <w:rsid w:val="002D0877"/>
    <w:rsid w:val="002D5BBF"/>
    <w:rsid w:val="002D6A4D"/>
    <w:rsid w:val="002E04A8"/>
    <w:rsid w:val="002E11E5"/>
    <w:rsid w:val="002E3154"/>
    <w:rsid w:val="002F468E"/>
    <w:rsid w:val="002F4E14"/>
    <w:rsid w:val="002F5429"/>
    <w:rsid w:val="003008FB"/>
    <w:rsid w:val="00302FC7"/>
    <w:rsid w:val="003034EA"/>
    <w:rsid w:val="00303612"/>
    <w:rsid w:val="00303C24"/>
    <w:rsid w:val="00310C66"/>
    <w:rsid w:val="00322661"/>
    <w:rsid w:val="0033604C"/>
    <w:rsid w:val="00336A03"/>
    <w:rsid w:val="00345C1D"/>
    <w:rsid w:val="00353B4E"/>
    <w:rsid w:val="00354F24"/>
    <w:rsid w:val="00355B27"/>
    <w:rsid w:val="00357694"/>
    <w:rsid w:val="00367D98"/>
    <w:rsid w:val="00372A7A"/>
    <w:rsid w:val="003754F8"/>
    <w:rsid w:val="003811D7"/>
    <w:rsid w:val="0038161E"/>
    <w:rsid w:val="00383BBE"/>
    <w:rsid w:val="0038490F"/>
    <w:rsid w:val="003874DE"/>
    <w:rsid w:val="0039222E"/>
    <w:rsid w:val="0039599D"/>
    <w:rsid w:val="00396F5A"/>
    <w:rsid w:val="003A0C1B"/>
    <w:rsid w:val="003A1C58"/>
    <w:rsid w:val="003A3DAD"/>
    <w:rsid w:val="003A5C0E"/>
    <w:rsid w:val="003B42BB"/>
    <w:rsid w:val="003B6586"/>
    <w:rsid w:val="003C7238"/>
    <w:rsid w:val="003D3CB8"/>
    <w:rsid w:val="003D4D6C"/>
    <w:rsid w:val="003D63A1"/>
    <w:rsid w:val="003D787B"/>
    <w:rsid w:val="003D7D07"/>
    <w:rsid w:val="003E0E2C"/>
    <w:rsid w:val="003E1376"/>
    <w:rsid w:val="003E23E5"/>
    <w:rsid w:val="003E28B8"/>
    <w:rsid w:val="003E44AA"/>
    <w:rsid w:val="003E5065"/>
    <w:rsid w:val="003E6381"/>
    <w:rsid w:val="003F0FEB"/>
    <w:rsid w:val="003F5C50"/>
    <w:rsid w:val="003F70DA"/>
    <w:rsid w:val="00405930"/>
    <w:rsid w:val="004068B6"/>
    <w:rsid w:val="004070D5"/>
    <w:rsid w:val="00412A6F"/>
    <w:rsid w:val="00416EA2"/>
    <w:rsid w:val="00420BFD"/>
    <w:rsid w:val="004228FB"/>
    <w:rsid w:val="00430BFB"/>
    <w:rsid w:val="004337DB"/>
    <w:rsid w:val="00434CA9"/>
    <w:rsid w:val="004379AA"/>
    <w:rsid w:val="0044298A"/>
    <w:rsid w:val="004442DF"/>
    <w:rsid w:val="00445960"/>
    <w:rsid w:val="00446477"/>
    <w:rsid w:val="00446EF1"/>
    <w:rsid w:val="00452065"/>
    <w:rsid w:val="004528C4"/>
    <w:rsid w:val="00454AC0"/>
    <w:rsid w:val="00456FE2"/>
    <w:rsid w:val="004621AC"/>
    <w:rsid w:val="00463D7C"/>
    <w:rsid w:val="004737FD"/>
    <w:rsid w:val="00473FAC"/>
    <w:rsid w:val="00474F30"/>
    <w:rsid w:val="0047562D"/>
    <w:rsid w:val="00481389"/>
    <w:rsid w:val="004827AB"/>
    <w:rsid w:val="0048669A"/>
    <w:rsid w:val="0049123C"/>
    <w:rsid w:val="00491506"/>
    <w:rsid w:val="00492763"/>
    <w:rsid w:val="00494686"/>
    <w:rsid w:val="004A1766"/>
    <w:rsid w:val="004A480B"/>
    <w:rsid w:val="004A4BDE"/>
    <w:rsid w:val="004B52F4"/>
    <w:rsid w:val="004B67C4"/>
    <w:rsid w:val="004B74F4"/>
    <w:rsid w:val="004D2339"/>
    <w:rsid w:val="004D291C"/>
    <w:rsid w:val="004D4D20"/>
    <w:rsid w:val="004D6469"/>
    <w:rsid w:val="004D683B"/>
    <w:rsid w:val="004D7F42"/>
    <w:rsid w:val="004E1571"/>
    <w:rsid w:val="004E3A80"/>
    <w:rsid w:val="004E5ED0"/>
    <w:rsid w:val="004F0B47"/>
    <w:rsid w:val="004F4830"/>
    <w:rsid w:val="005016AE"/>
    <w:rsid w:val="005021A2"/>
    <w:rsid w:val="00503EF8"/>
    <w:rsid w:val="00506FD5"/>
    <w:rsid w:val="00517DBC"/>
    <w:rsid w:val="00517EFE"/>
    <w:rsid w:val="0052067E"/>
    <w:rsid w:val="005214F3"/>
    <w:rsid w:val="00523E4C"/>
    <w:rsid w:val="005338CE"/>
    <w:rsid w:val="00542177"/>
    <w:rsid w:val="00542182"/>
    <w:rsid w:val="0054339F"/>
    <w:rsid w:val="005510F7"/>
    <w:rsid w:val="00551463"/>
    <w:rsid w:val="005519E5"/>
    <w:rsid w:val="00553D07"/>
    <w:rsid w:val="0056174D"/>
    <w:rsid w:val="005638EC"/>
    <w:rsid w:val="00564A82"/>
    <w:rsid w:val="00570907"/>
    <w:rsid w:val="00571262"/>
    <w:rsid w:val="00577356"/>
    <w:rsid w:val="005848FF"/>
    <w:rsid w:val="00584D38"/>
    <w:rsid w:val="005859DB"/>
    <w:rsid w:val="005872DE"/>
    <w:rsid w:val="005878D8"/>
    <w:rsid w:val="0059220A"/>
    <w:rsid w:val="00592588"/>
    <w:rsid w:val="00592762"/>
    <w:rsid w:val="00596AAB"/>
    <w:rsid w:val="005A27D9"/>
    <w:rsid w:val="005A392E"/>
    <w:rsid w:val="005A40E6"/>
    <w:rsid w:val="005A582F"/>
    <w:rsid w:val="005A5C4D"/>
    <w:rsid w:val="005B04B0"/>
    <w:rsid w:val="005C279D"/>
    <w:rsid w:val="005C60A9"/>
    <w:rsid w:val="005D0AD1"/>
    <w:rsid w:val="005D37C2"/>
    <w:rsid w:val="005D4B06"/>
    <w:rsid w:val="005D4ECC"/>
    <w:rsid w:val="005D747D"/>
    <w:rsid w:val="005E2F2A"/>
    <w:rsid w:val="005E3768"/>
    <w:rsid w:val="005E5573"/>
    <w:rsid w:val="005F204A"/>
    <w:rsid w:val="005F2DFE"/>
    <w:rsid w:val="005F2E6E"/>
    <w:rsid w:val="005F45A0"/>
    <w:rsid w:val="005F67C5"/>
    <w:rsid w:val="005F6D51"/>
    <w:rsid w:val="005F6E17"/>
    <w:rsid w:val="0060501C"/>
    <w:rsid w:val="006060B1"/>
    <w:rsid w:val="00606AA4"/>
    <w:rsid w:val="00610548"/>
    <w:rsid w:val="00617621"/>
    <w:rsid w:val="006246DE"/>
    <w:rsid w:val="006306DF"/>
    <w:rsid w:val="006449F8"/>
    <w:rsid w:val="00650E48"/>
    <w:rsid w:val="00657AED"/>
    <w:rsid w:val="0066206D"/>
    <w:rsid w:val="00664E62"/>
    <w:rsid w:val="00670033"/>
    <w:rsid w:val="00673D85"/>
    <w:rsid w:val="00675E71"/>
    <w:rsid w:val="00676B2B"/>
    <w:rsid w:val="00686979"/>
    <w:rsid w:val="00690D0E"/>
    <w:rsid w:val="006A6B09"/>
    <w:rsid w:val="006B3631"/>
    <w:rsid w:val="006B406F"/>
    <w:rsid w:val="006B4C62"/>
    <w:rsid w:val="006C27D0"/>
    <w:rsid w:val="006C29E4"/>
    <w:rsid w:val="006C2A3F"/>
    <w:rsid w:val="006C2A78"/>
    <w:rsid w:val="006C3535"/>
    <w:rsid w:val="006C7152"/>
    <w:rsid w:val="006C7639"/>
    <w:rsid w:val="006D3095"/>
    <w:rsid w:val="006E5D62"/>
    <w:rsid w:val="006E6266"/>
    <w:rsid w:val="006F69C0"/>
    <w:rsid w:val="00701949"/>
    <w:rsid w:val="00701FDF"/>
    <w:rsid w:val="00704EB7"/>
    <w:rsid w:val="0071208A"/>
    <w:rsid w:val="007142EA"/>
    <w:rsid w:val="00714ECA"/>
    <w:rsid w:val="00715374"/>
    <w:rsid w:val="007156C5"/>
    <w:rsid w:val="00716625"/>
    <w:rsid w:val="00717BDF"/>
    <w:rsid w:val="00721F64"/>
    <w:rsid w:val="007254E9"/>
    <w:rsid w:val="00726840"/>
    <w:rsid w:val="007315AD"/>
    <w:rsid w:val="007347FD"/>
    <w:rsid w:val="007350B4"/>
    <w:rsid w:val="007367C4"/>
    <w:rsid w:val="00745579"/>
    <w:rsid w:val="007455A1"/>
    <w:rsid w:val="00745FC6"/>
    <w:rsid w:val="00746B83"/>
    <w:rsid w:val="00750C65"/>
    <w:rsid w:val="00754BDC"/>
    <w:rsid w:val="007700B9"/>
    <w:rsid w:val="00770D89"/>
    <w:rsid w:val="00775C8B"/>
    <w:rsid w:val="00777927"/>
    <w:rsid w:val="00780A39"/>
    <w:rsid w:val="007811FF"/>
    <w:rsid w:val="00783B93"/>
    <w:rsid w:val="00785606"/>
    <w:rsid w:val="00785DB5"/>
    <w:rsid w:val="007865D1"/>
    <w:rsid w:val="00792207"/>
    <w:rsid w:val="007978F1"/>
    <w:rsid w:val="007A4350"/>
    <w:rsid w:val="007A6AEF"/>
    <w:rsid w:val="007B3D89"/>
    <w:rsid w:val="007C05E0"/>
    <w:rsid w:val="007C253C"/>
    <w:rsid w:val="007C50ED"/>
    <w:rsid w:val="007C580D"/>
    <w:rsid w:val="007C75C7"/>
    <w:rsid w:val="007D250A"/>
    <w:rsid w:val="007D69B5"/>
    <w:rsid w:val="007E197F"/>
    <w:rsid w:val="007E1F87"/>
    <w:rsid w:val="007E29F2"/>
    <w:rsid w:val="007E34C5"/>
    <w:rsid w:val="007E3FD2"/>
    <w:rsid w:val="00800F7B"/>
    <w:rsid w:val="008017F9"/>
    <w:rsid w:val="008021E7"/>
    <w:rsid w:val="00802464"/>
    <w:rsid w:val="00803FD9"/>
    <w:rsid w:val="00805CF3"/>
    <w:rsid w:val="008069D1"/>
    <w:rsid w:val="00814685"/>
    <w:rsid w:val="008156E4"/>
    <w:rsid w:val="00821E91"/>
    <w:rsid w:val="00822AB6"/>
    <w:rsid w:val="0082697D"/>
    <w:rsid w:val="00827D93"/>
    <w:rsid w:val="00833F70"/>
    <w:rsid w:val="00836D1F"/>
    <w:rsid w:val="00837A04"/>
    <w:rsid w:val="00841B3D"/>
    <w:rsid w:val="008448FA"/>
    <w:rsid w:val="00846F11"/>
    <w:rsid w:val="00847D21"/>
    <w:rsid w:val="008520E3"/>
    <w:rsid w:val="00853520"/>
    <w:rsid w:val="008563DA"/>
    <w:rsid w:val="0086105D"/>
    <w:rsid w:val="0086358C"/>
    <w:rsid w:val="00867769"/>
    <w:rsid w:val="00870852"/>
    <w:rsid w:val="00872FC1"/>
    <w:rsid w:val="00882586"/>
    <w:rsid w:val="008912FA"/>
    <w:rsid w:val="00893E1F"/>
    <w:rsid w:val="00894885"/>
    <w:rsid w:val="008974F6"/>
    <w:rsid w:val="008A13F3"/>
    <w:rsid w:val="008A4295"/>
    <w:rsid w:val="008B1C6B"/>
    <w:rsid w:val="008B2E6C"/>
    <w:rsid w:val="008B5116"/>
    <w:rsid w:val="008C644A"/>
    <w:rsid w:val="008D139B"/>
    <w:rsid w:val="008D1567"/>
    <w:rsid w:val="008D6D99"/>
    <w:rsid w:val="008D769B"/>
    <w:rsid w:val="008E3375"/>
    <w:rsid w:val="008E37D4"/>
    <w:rsid w:val="008E5465"/>
    <w:rsid w:val="008E7067"/>
    <w:rsid w:val="008F407E"/>
    <w:rsid w:val="008F54BA"/>
    <w:rsid w:val="008F6659"/>
    <w:rsid w:val="00903F4B"/>
    <w:rsid w:val="00904A03"/>
    <w:rsid w:val="00907263"/>
    <w:rsid w:val="00907E16"/>
    <w:rsid w:val="00913589"/>
    <w:rsid w:val="00915ADC"/>
    <w:rsid w:val="009227FE"/>
    <w:rsid w:val="00926F2F"/>
    <w:rsid w:val="00927033"/>
    <w:rsid w:val="0093106E"/>
    <w:rsid w:val="0093116C"/>
    <w:rsid w:val="00933D8B"/>
    <w:rsid w:val="00934159"/>
    <w:rsid w:val="009418F7"/>
    <w:rsid w:val="009455AF"/>
    <w:rsid w:val="00946D4C"/>
    <w:rsid w:val="00947D80"/>
    <w:rsid w:val="00950599"/>
    <w:rsid w:val="00951B96"/>
    <w:rsid w:val="00953B0E"/>
    <w:rsid w:val="00956499"/>
    <w:rsid w:val="00957B65"/>
    <w:rsid w:val="009616CA"/>
    <w:rsid w:val="009644A3"/>
    <w:rsid w:val="009662BB"/>
    <w:rsid w:val="009677DB"/>
    <w:rsid w:val="009A101F"/>
    <w:rsid w:val="009A16A1"/>
    <w:rsid w:val="009A4B64"/>
    <w:rsid w:val="009B27CF"/>
    <w:rsid w:val="009B2ED8"/>
    <w:rsid w:val="009B3187"/>
    <w:rsid w:val="009B41C8"/>
    <w:rsid w:val="009C0F3C"/>
    <w:rsid w:val="009C6AC0"/>
    <w:rsid w:val="009C726B"/>
    <w:rsid w:val="009D11F2"/>
    <w:rsid w:val="009D12BA"/>
    <w:rsid w:val="009E14EE"/>
    <w:rsid w:val="009E5A9B"/>
    <w:rsid w:val="009F151D"/>
    <w:rsid w:val="009F4FDA"/>
    <w:rsid w:val="009F5DB4"/>
    <w:rsid w:val="00A01BBB"/>
    <w:rsid w:val="00A0232E"/>
    <w:rsid w:val="00A039AE"/>
    <w:rsid w:val="00A1075F"/>
    <w:rsid w:val="00A12777"/>
    <w:rsid w:val="00A128FD"/>
    <w:rsid w:val="00A171D2"/>
    <w:rsid w:val="00A21522"/>
    <w:rsid w:val="00A21964"/>
    <w:rsid w:val="00A23658"/>
    <w:rsid w:val="00A24D06"/>
    <w:rsid w:val="00A31FF5"/>
    <w:rsid w:val="00A32B0C"/>
    <w:rsid w:val="00A34375"/>
    <w:rsid w:val="00A346C2"/>
    <w:rsid w:val="00A360CC"/>
    <w:rsid w:val="00A402E9"/>
    <w:rsid w:val="00A40CAD"/>
    <w:rsid w:val="00A45001"/>
    <w:rsid w:val="00A47E51"/>
    <w:rsid w:val="00A51231"/>
    <w:rsid w:val="00A72383"/>
    <w:rsid w:val="00A825B7"/>
    <w:rsid w:val="00A8606E"/>
    <w:rsid w:val="00A946A0"/>
    <w:rsid w:val="00A9615D"/>
    <w:rsid w:val="00A9649B"/>
    <w:rsid w:val="00AA09D9"/>
    <w:rsid w:val="00AA49A8"/>
    <w:rsid w:val="00AA69C3"/>
    <w:rsid w:val="00AA7912"/>
    <w:rsid w:val="00AB49C1"/>
    <w:rsid w:val="00AB49EC"/>
    <w:rsid w:val="00AC0EF0"/>
    <w:rsid w:val="00AC2844"/>
    <w:rsid w:val="00AC5286"/>
    <w:rsid w:val="00AC53B9"/>
    <w:rsid w:val="00AC5D80"/>
    <w:rsid w:val="00AD021E"/>
    <w:rsid w:val="00AD0F0E"/>
    <w:rsid w:val="00AE015C"/>
    <w:rsid w:val="00AE10E8"/>
    <w:rsid w:val="00AE46D6"/>
    <w:rsid w:val="00AF1B3B"/>
    <w:rsid w:val="00AF31DF"/>
    <w:rsid w:val="00B04472"/>
    <w:rsid w:val="00B07422"/>
    <w:rsid w:val="00B10FE1"/>
    <w:rsid w:val="00B2132D"/>
    <w:rsid w:val="00B21C06"/>
    <w:rsid w:val="00B33A96"/>
    <w:rsid w:val="00B35732"/>
    <w:rsid w:val="00B35C4C"/>
    <w:rsid w:val="00B36176"/>
    <w:rsid w:val="00B3698F"/>
    <w:rsid w:val="00B44160"/>
    <w:rsid w:val="00B455FA"/>
    <w:rsid w:val="00B52AA0"/>
    <w:rsid w:val="00B5545F"/>
    <w:rsid w:val="00B575CB"/>
    <w:rsid w:val="00B6185F"/>
    <w:rsid w:val="00B64F6E"/>
    <w:rsid w:val="00B6601B"/>
    <w:rsid w:val="00B718F5"/>
    <w:rsid w:val="00B73332"/>
    <w:rsid w:val="00B81F9A"/>
    <w:rsid w:val="00B8272C"/>
    <w:rsid w:val="00B91FFB"/>
    <w:rsid w:val="00B95B90"/>
    <w:rsid w:val="00B96A66"/>
    <w:rsid w:val="00B9700C"/>
    <w:rsid w:val="00B970B1"/>
    <w:rsid w:val="00BA3AF3"/>
    <w:rsid w:val="00BA45AE"/>
    <w:rsid w:val="00BA51E7"/>
    <w:rsid w:val="00BA5C7B"/>
    <w:rsid w:val="00BA71D4"/>
    <w:rsid w:val="00BB03C4"/>
    <w:rsid w:val="00BB0E51"/>
    <w:rsid w:val="00BB362A"/>
    <w:rsid w:val="00BB3713"/>
    <w:rsid w:val="00BB6BC3"/>
    <w:rsid w:val="00BC1070"/>
    <w:rsid w:val="00BC1A0C"/>
    <w:rsid w:val="00BC1B01"/>
    <w:rsid w:val="00BD5760"/>
    <w:rsid w:val="00BD6098"/>
    <w:rsid w:val="00BD7C4D"/>
    <w:rsid w:val="00BE118B"/>
    <w:rsid w:val="00BF2B55"/>
    <w:rsid w:val="00C07D00"/>
    <w:rsid w:val="00C136B7"/>
    <w:rsid w:val="00C15E6F"/>
    <w:rsid w:val="00C1745D"/>
    <w:rsid w:val="00C207D1"/>
    <w:rsid w:val="00C21FA2"/>
    <w:rsid w:val="00C27843"/>
    <w:rsid w:val="00C30E0E"/>
    <w:rsid w:val="00C40428"/>
    <w:rsid w:val="00C42E94"/>
    <w:rsid w:val="00C47B6A"/>
    <w:rsid w:val="00C61809"/>
    <w:rsid w:val="00C6395E"/>
    <w:rsid w:val="00C654A7"/>
    <w:rsid w:val="00C67ABE"/>
    <w:rsid w:val="00C70F5A"/>
    <w:rsid w:val="00C719CC"/>
    <w:rsid w:val="00C74DAE"/>
    <w:rsid w:val="00C77380"/>
    <w:rsid w:val="00C82806"/>
    <w:rsid w:val="00C85107"/>
    <w:rsid w:val="00C8629B"/>
    <w:rsid w:val="00C87BA6"/>
    <w:rsid w:val="00C94ADA"/>
    <w:rsid w:val="00C97548"/>
    <w:rsid w:val="00CA11A6"/>
    <w:rsid w:val="00CA6127"/>
    <w:rsid w:val="00CA622B"/>
    <w:rsid w:val="00CB1252"/>
    <w:rsid w:val="00CB58FC"/>
    <w:rsid w:val="00CB5EF2"/>
    <w:rsid w:val="00CB6BBD"/>
    <w:rsid w:val="00CB6DF0"/>
    <w:rsid w:val="00CB771E"/>
    <w:rsid w:val="00CC27F3"/>
    <w:rsid w:val="00CC5187"/>
    <w:rsid w:val="00CC63BF"/>
    <w:rsid w:val="00CD2E41"/>
    <w:rsid w:val="00CD7663"/>
    <w:rsid w:val="00CE07B4"/>
    <w:rsid w:val="00CE1643"/>
    <w:rsid w:val="00CE1F20"/>
    <w:rsid w:val="00CE286C"/>
    <w:rsid w:val="00CF0BA1"/>
    <w:rsid w:val="00CF220A"/>
    <w:rsid w:val="00D05469"/>
    <w:rsid w:val="00D12E61"/>
    <w:rsid w:val="00D219B7"/>
    <w:rsid w:val="00D22FE8"/>
    <w:rsid w:val="00D27177"/>
    <w:rsid w:val="00D30454"/>
    <w:rsid w:val="00D3084E"/>
    <w:rsid w:val="00D30CF0"/>
    <w:rsid w:val="00D31F63"/>
    <w:rsid w:val="00D32460"/>
    <w:rsid w:val="00D33F61"/>
    <w:rsid w:val="00D34AB3"/>
    <w:rsid w:val="00D35037"/>
    <w:rsid w:val="00D3666A"/>
    <w:rsid w:val="00D43330"/>
    <w:rsid w:val="00D45669"/>
    <w:rsid w:val="00D576B7"/>
    <w:rsid w:val="00D60D77"/>
    <w:rsid w:val="00D6197E"/>
    <w:rsid w:val="00D657FA"/>
    <w:rsid w:val="00D65D0C"/>
    <w:rsid w:val="00D7303D"/>
    <w:rsid w:val="00D7607B"/>
    <w:rsid w:val="00D8149D"/>
    <w:rsid w:val="00D8240B"/>
    <w:rsid w:val="00D84C8E"/>
    <w:rsid w:val="00D87C53"/>
    <w:rsid w:val="00DB24BD"/>
    <w:rsid w:val="00DB7D52"/>
    <w:rsid w:val="00DC4379"/>
    <w:rsid w:val="00DC442E"/>
    <w:rsid w:val="00DC7132"/>
    <w:rsid w:val="00DC7DB4"/>
    <w:rsid w:val="00DD033D"/>
    <w:rsid w:val="00DD2519"/>
    <w:rsid w:val="00DD62DD"/>
    <w:rsid w:val="00DD690D"/>
    <w:rsid w:val="00DE3262"/>
    <w:rsid w:val="00DE731A"/>
    <w:rsid w:val="00DE7730"/>
    <w:rsid w:val="00DF0CE5"/>
    <w:rsid w:val="00DF1452"/>
    <w:rsid w:val="00DF213E"/>
    <w:rsid w:val="00DF3C48"/>
    <w:rsid w:val="00DF43A7"/>
    <w:rsid w:val="00DF6A9E"/>
    <w:rsid w:val="00DF7E9C"/>
    <w:rsid w:val="00E0000B"/>
    <w:rsid w:val="00E010E1"/>
    <w:rsid w:val="00E04FFF"/>
    <w:rsid w:val="00E05D68"/>
    <w:rsid w:val="00E06FD4"/>
    <w:rsid w:val="00E215EC"/>
    <w:rsid w:val="00E249F3"/>
    <w:rsid w:val="00E255E7"/>
    <w:rsid w:val="00E263F6"/>
    <w:rsid w:val="00E27328"/>
    <w:rsid w:val="00E279F7"/>
    <w:rsid w:val="00E356FA"/>
    <w:rsid w:val="00E35711"/>
    <w:rsid w:val="00E35FC7"/>
    <w:rsid w:val="00E36012"/>
    <w:rsid w:val="00E374FB"/>
    <w:rsid w:val="00E41B02"/>
    <w:rsid w:val="00E469A1"/>
    <w:rsid w:val="00E52115"/>
    <w:rsid w:val="00E531B6"/>
    <w:rsid w:val="00E533F1"/>
    <w:rsid w:val="00E53838"/>
    <w:rsid w:val="00E53D99"/>
    <w:rsid w:val="00E56649"/>
    <w:rsid w:val="00E5752F"/>
    <w:rsid w:val="00E616EF"/>
    <w:rsid w:val="00E63052"/>
    <w:rsid w:val="00E63288"/>
    <w:rsid w:val="00E661C1"/>
    <w:rsid w:val="00E679D4"/>
    <w:rsid w:val="00E67A17"/>
    <w:rsid w:val="00E70F52"/>
    <w:rsid w:val="00E72614"/>
    <w:rsid w:val="00E739B1"/>
    <w:rsid w:val="00E80688"/>
    <w:rsid w:val="00E809B5"/>
    <w:rsid w:val="00E82A89"/>
    <w:rsid w:val="00E87FA4"/>
    <w:rsid w:val="00E91318"/>
    <w:rsid w:val="00E915C0"/>
    <w:rsid w:val="00E94B69"/>
    <w:rsid w:val="00E95884"/>
    <w:rsid w:val="00EA2F7A"/>
    <w:rsid w:val="00EA703D"/>
    <w:rsid w:val="00EB49E8"/>
    <w:rsid w:val="00EB4F97"/>
    <w:rsid w:val="00EB7016"/>
    <w:rsid w:val="00EB74CC"/>
    <w:rsid w:val="00EC0F0A"/>
    <w:rsid w:val="00EC5FA2"/>
    <w:rsid w:val="00ED0D2B"/>
    <w:rsid w:val="00ED3124"/>
    <w:rsid w:val="00EE15B3"/>
    <w:rsid w:val="00EE1E8C"/>
    <w:rsid w:val="00EE660B"/>
    <w:rsid w:val="00EF062E"/>
    <w:rsid w:val="00EF0D3D"/>
    <w:rsid w:val="00EF10D8"/>
    <w:rsid w:val="00EF631A"/>
    <w:rsid w:val="00F00DF2"/>
    <w:rsid w:val="00F01683"/>
    <w:rsid w:val="00F022CF"/>
    <w:rsid w:val="00F040E1"/>
    <w:rsid w:val="00F05922"/>
    <w:rsid w:val="00F1574C"/>
    <w:rsid w:val="00F1678C"/>
    <w:rsid w:val="00F220EB"/>
    <w:rsid w:val="00F405FB"/>
    <w:rsid w:val="00F46A44"/>
    <w:rsid w:val="00F47D91"/>
    <w:rsid w:val="00F51CA5"/>
    <w:rsid w:val="00F52979"/>
    <w:rsid w:val="00F53A2D"/>
    <w:rsid w:val="00F541C6"/>
    <w:rsid w:val="00F54E16"/>
    <w:rsid w:val="00F569C5"/>
    <w:rsid w:val="00F57EAF"/>
    <w:rsid w:val="00F61491"/>
    <w:rsid w:val="00F64E76"/>
    <w:rsid w:val="00F64EF6"/>
    <w:rsid w:val="00F80E24"/>
    <w:rsid w:val="00F824D8"/>
    <w:rsid w:val="00F83E56"/>
    <w:rsid w:val="00F84582"/>
    <w:rsid w:val="00F862C2"/>
    <w:rsid w:val="00F86755"/>
    <w:rsid w:val="00F86AA7"/>
    <w:rsid w:val="00F87BD9"/>
    <w:rsid w:val="00F90ACC"/>
    <w:rsid w:val="00FA0053"/>
    <w:rsid w:val="00FA27C7"/>
    <w:rsid w:val="00FA2CF0"/>
    <w:rsid w:val="00FA43C4"/>
    <w:rsid w:val="00FA5BB4"/>
    <w:rsid w:val="00FA6A05"/>
    <w:rsid w:val="00FB2B44"/>
    <w:rsid w:val="00FC3DA1"/>
    <w:rsid w:val="00FC46A6"/>
    <w:rsid w:val="00FD2367"/>
    <w:rsid w:val="00FD2CC5"/>
    <w:rsid w:val="00FE47E1"/>
    <w:rsid w:val="00FE5BB5"/>
    <w:rsid w:val="00FE6C27"/>
    <w:rsid w:val="00FF1760"/>
    <w:rsid w:val="00FF3D1A"/>
    <w:rsid w:val="118C48E8"/>
    <w:rsid w:val="18A0347A"/>
    <w:rsid w:val="391825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name="toc 1"/>
    <w:lsdException w:qFormat="1" w:unhideWhenUsed="0"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0"/>
    <w:pPr>
      <w:keepNext/>
      <w:keepLines/>
      <w:spacing w:beforeLines="50" w:afterLines="50"/>
      <w:outlineLvl w:val="1"/>
    </w:pPr>
    <w:rPr>
      <w:rFonts w:ascii="Arial" w:hAnsi="Arial"/>
      <w:b/>
      <w:sz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7"/>
    <w:semiHidden/>
    <w:unhideWhenUsed/>
    <w:qFormat/>
    <w:uiPriority w:val="0"/>
    <w:rPr>
      <w:rFonts w:ascii="Microsoft YaHei UI" w:eastAsia="Microsoft YaHei UI"/>
      <w:sz w:val="18"/>
      <w:szCs w:val="18"/>
    </w:rPr>
  </w:style>
  <w:style w:type="paragraph" w:styleId="5">
    <w:name w:val="Body Text"/>
    <w:basedOn w:val="1"/>
    <w:link w:val="25"/>
    <w:qFormat/>
    <w:uiPriority w:val="99"/>
    <w:pPr>
      <w:autoSpaceDE w:val="0"/>
      <w:autoSpaceDN w:val="0"/>
      <w:jc w:val="left"/>
    </w:pPr>
    <w:rPr>
      <w:rFonts w:ascii="仿宋" w:hAnsi="仿宋" w:eastAsia="仿宋" w:cs="仿宋"/>
      <w:kern w:val="0"/>
      <w:szCs w:val="32"/>
      <w:lang w:val="zh-CN"/>
    </w:rPr>
  </w:style>
  <w:style w:type="paragraph" w:styleId="6">
    <w:name w:val="Date"/>
    <w:basedOn w:val="1"/>
    <w:next w:val="1"/>
    <w:link w:val="22"/>
    <w:qFormat/>
    <w:uiPriority w:val="0"/>
    <w:pPr>
      <w:ind w:left="100" w:leftChars="2500"/>
    </w:pPr>
  </w:style>
  <w:style w:type="paragraph" w:styleId="7">
    <w:name w:val="Balloon Text"/>
    <w:basedOn w:val="1"/>
    <w:link w:val="20"/>
    <w:qFormat/>
    <w:uiPriority w:val="0"/>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semiHidden/>
    <w:uiPriority w:val="0"/>
  </w:style>
  <w:style w:type="paragraph" w:styleId="11">
    <w:name w:val="toc 2"/>
    <w:basedOn w:val="1"/>
    <w:next w:val="1"/>
    <w:semiHidden/>
    <w:qFormat/>
    <w:uiPriority w:val="0"/>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sz w:val="24"/>
      <w:szCs w:val="24"/>
    </w:rPr>
  </w:style>
  <w:style w:type="table" w:styleId="14">
    <w:name w:val="Table Grid"/>
    <w:basedOn w:val="13"/>
    <w:qFormat/>
    <w:uiPriority w:val="5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character" w:styleId="17">
    <w:name w:val="Hyperlink"/>
    <w:qFormat/>
    <w:uiPriority w:val="0"/>
    <w:rPr>
      <w:color w:val="0000FF"/>
      <w:u w:val="single"/>
    </w:rPr>
  </w:style>
  <w:style w:type="paragraph" w:customStyle="1" w:styleId="18">
    <w:name w:val="Char Char1 Char Char Char Char Char Char"/>
    <w:basedOn w:val="1"/>
    <w:qFormat/>
    <w:uiPriority w:val="0"/>
    <w:pPr>
      <w:widowControl/>
      <w:spacing w:after="160" w:line="240" w:lineRule="exact"/>
      <w:jc w:val="left"/>
    </w:pPr>
    <w:rPr>
      <w:rFonts w:ascii="Verdana" w:hAnsi="Verdana"/>
      <w:kern w:val="0"/>
      <w:sz w:val="24"/>
      <w:lang w:eastAsia="en-US"/>
    </w:rPr>
  </w:style>
  <w:style w:type="character" w:customStyle="1" w:styleId="19">
    <w:name w:val="标题 2 Char"/>
    <w:link w:val="3"/>
    <w:qFormat/>
    <w:uiPriority w:val="0"/>
    <w:rPr>
      <w:rFonts w:ascii="Arial" w:hAnsi="Arial" w:eastAsia="仿宋_GB2312"/>
      <w:b/>
      <w:kern w:val="2"/>
      <w:sz w:val="28"/>
      <w:lang w:val="en-US" w:eastAsia="zh-CN" w:bidi="ar-SA"/>
    </w:rPr>
  </w:style>
  <w:style w:type="character" w:customStyle="1" w:styleId="20">
    <w:name w:val="批注框文本 Char"/>
    <w:link w:val="7"/>
    <w:qFormat/>
    <w:uiPriority w:val="0"/>
    <w:rPr>
      <w:rFonts w:eastAsia="仿宋_GB2312"/>
      <w:kern w:val="2"/>
      <w:sz w:val="18"/>
      <w:szCs w:val="18"/>
    </w:rPr>
  </w:style>
  <w:style w:type="paragraph" w:styleId="21">
    <w:name w:val="List Paragraph"/>
    <w:basedOn w:val="1"/>
    <w:qFormat/>
    <w:uiPriority w:val="99"/>
    <w:pPr>
      <w:ind w:firstLine="420" w:firstLineChars="200"/>
    </w:pPr>
  </w:style>
  <w:style w:type="character" w:customStyle="1" w:styleId="22">
    <w:name w:val="日期 Char"/>
    <w:basedOn w:val="15"/>
    <w:link w:val="6"/>
    <w:qFormat/>
    <w:uiPriority w:val="0"/>
    <w:rPr>
      <w:rFonts w:eastAsia="仿宋_GB2312"/>
      <w:kern w:val="2"/>
      <w:sz w:val="32"/>
    </w:rPr>
  </w:style>
  <w:style w:type="character" w:customStyle="1" w:styleId="23">
    <w:name w:val="页脚 Char"/>
    <w:basedOn w:val="15"/>
    <w:link w:val="8"/>
    <w:qFormat/>
    <w:uiPriority w:val="99"/>
    <w:rPr>
      <w:rFonts w:eastAsia="仿宋_GB2312"/>
      <w:kern w:val="2"/>
      <w:sz w:val="18"/>
      <w:szCs w:val="18"/>
    </w:rPr>
  </w:style>
  <w:style w:type="character" w:customStyle="1" w:styleId="24">
    <w:name w:val="标题 1 Char"/>
    <w:basedOn w:val="15"/>
    <w:link w:val="2"/>
    <w:qFormat/>
    <w:uiPriority w:val="0"/>
    <w:rPr>
      <w:rFonts w:eastAsia="仿宋_GB2312"/>
      <w:b/>
      <w:bCs/>
      <w:kern w:val="44"/>
      <w:sz w:val="44"/>
      <w:szCs w:val="44"/>
    </w:rPr>
  </w:style>
  <w:style w:type="character" w:customStyle="1" w:styleId="25">
    <w:name w:val="正文文本 Char"/>
    <w:basedOn w:val="15"/>
    <w:link w:val="5"/>
    <w:qFormat/>
    <w:uiPriority w:val="99"/>
    <w:rPr>
      <w:rFonts w:ascii="仿宋" w:hAnsi="仿宋" w:eastAsia="仿宋" w:cs="仿宋"/>
      <w:sz w:val="32"/>
      <w:szCs w:val="32"/>
      <w:lang w:val="zh-CN"/>
    </w:rPr>
  </w:style>
  <w:style w:type="paragraph" w:customStyle="1" w:styleId="26">
    <w:name w:val="Char Char Char Char"/>
    <w:basedOn w:val="4"/>
    <w:qFormat/>
    <w:uiPriority w:val="0"/>
    <w:pPr>
      <w:shd w:val="clear" w:color="auto" w:fill="000080"/>
      <w:adjustRightInd w:val="0"/>
      <w:spacing w:line="436" w:lineRule="exact"/>
      <w:ind w:left="357"/>
      <w:jc w:val="left"/>
      <w:outlineLvl w:val="3"/>
    </w:pPr>
    <w:rPr>
      <w:rFonts w:ascii="Tahoma" w:hAnsi="Tahoma" w:eastAsia="宋体"/>
      <w:b/>
      <w:sz w:val="24"/>
      <w:szCs w:val="24"/>
    </w:rPr>
  </w:style>
  <w:style w:type="character" w:customStyle="1" w:styleId="27">
    <w:name w:val="文档结构图 Char"/>
    <w:basedOn w:val="15"/>
    <w:link w:val="4"/>
    <w:semiHidden/>
    <w:qFormat/>
    <w:uiPriority w:val="0"/>
    <w:rPr>
      <w:rFonts w:ascii="Microsoft YaHei UI" w:eastAsia="Microsoft YaHei U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6BCC1C-E579-4E88-B282-1BC73A1EF4A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2268</Words>
  <Characters>2328</Characters>
  <Lines>17</Lines>
  <Paragraphs>4</Paragraphs>
  <TotalTime>1</TotalTime>
  <ScaleCrop>false</ScaleCrop>
  <LinksUpToDate>false</LinksUpToDate>
  <CharactersWithSpaces>2351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2023-08-18T03:13:00Z</dcterms:created>
  <dc:creator>User</dc:creator>
  <cp:lastModifiedBy>崔云涛</cp:lastModifiedBy>
  <cp:lastPrinted>2023-08-18T07:19:00Z</cp:lastPrinted>
  <dcterms:modified xsi:type="dcterms:W3CDTF">2023-09-22T02:32:19Z</dcterms:modified>
  <dc:title>青岛市城镇燃气突发事件应急预案</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FEECAF29C2584A92B3199B1AD92D6E53_13</vt:lpwstr>
  </property>
</Properties>
</file>